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88" w:type="dxa"/>
        <w:tblLook w:val="04A0" w:firstRow="1" w:lastRow="0" w:firstColumn="1" w:lastColumn="0" w:noHBand="0" w:noVBand="1"/>
      </w:tblPr>
      <w:tblGrid>
        <w:gridCol w:w="1530"/>
        <w:gridCol w:w="1710"/>
        <w:gridCol w:w="10710"/>
      </w:tblGrid>
      <w:tr w:rsidR="00C7615A" w:rsidRPr="00B56BC5" w:rsidTr="00D33E84">
        <w:tc>
          <w:tcPr>
            <w:tcW w:w="1530" w:type="dxa"/>
          </w:tcPr>
          <w:p w:rsidR="00C7615A" w:rsidRPr="00035734" w:rsidRDefault="00B56BC5" w:rsidP="00D61634">
            <w:pPr>
              <w:spacing w:after="200" w:line="276" w:lineRule="auto"/>
              <w:jc w:val="center"/>
              <w:rPr>
                <w:b/>
                <w:sz w:val="26"/>
                <w:szCs w:val="26"/>
              </w:rPr>
            </w:pPr>
            <w:bookmarkStart w:id="0" w:name="_Hlk27391804"/>
            <w:r>
              <w:rPr>
                <w:b/>
                <w:sz w:val="26"/>
                <w:szCs w:val="26"/>
              </w:rPr>
              <w:t>Number</w:t>
            </w:r>
          </w:p>
        </w:tc>
        <w:tc>
          <w:tcPr>
            <w:tcW w:w="1710" w:type="dxa"/>
          </w:tcPr>
          <w:p w:rsidR="00C7615A" w:rsidRPr="00035734" w:rsidRDefault="00C7615A" w:rsidP="00D61634">
            <w:pPr>
              <w:spacing w:after="200" w:line="276" w:lineRule="auto"/>
              <w:jc w:val="center"/>
              <w:rPr>
                <w:b/>
                <w:sz w:val="26"/>
                <w:szCs w:val="26"/>
              </w:rPr>
            </w:pPr>
            <w:r w:rsidRPr="00035734">
              <w:rPr>
                <w:b/>
                <w:sz w:val="26"/>
                <w:szCs w:val="26"/>
              </w:rPr>
              <w:t>True or False</w:t>
            </w:r>
          </w:p>
        </w:tc>
        <w:tc>
          <w:tcPr>
            <w:tcW w:w="10710" w:type="dxa"/>
          </w:tcPr>
          <w:p w:rsidR="00C7615A" w:rsidRPr="00035734" w:rsidRDefault="00B56BC5" w:rsidP="00BE7C2D">
            <w:pPr>
              <w:spacing w:after="200" w:line="276" w:lineRule="auto"/>
              <w:rPr>
                <w:b/>
                <w:sz w:val="26"/>
                <w:szCs w:val="26"/>
              </w:rPr>
            </w:pPr>
            <w:r>
              <w:rPr>
                <w:b/>
                <w:sz w:val="26"/>
                <w:szCs w:val="26"/>
              </w:rPr>
              <w:t>Question</w:t>
            </w:r>
          </w:p>
        </w:tc>
      </w:tr>
      <w:bookmarkEnd w:id="0"/>
      <w:tr w:rsidR="00656D5C" w:rsidTr="00D33E84">
        <w:trPr>
          <w:trHeight w:val="720"/>
        </w:trPr>
        <w:tc>
          <w:tcPr>
            <w:tcW w:w="1530" w:type="dxa"/>
            <w:vAlign w:val="center"/>
          </w:tcPr>
          <w:p w:rsidR="00656D5C" w:rsidRDefault="00B56BC5" w:rsidP="00D61634">
            <w:pPr>
              <w:jc w:val="center"/>
              <w:rPr>
                <w:sz w:val="26"/>
                <w:szCs w:val="26"/>
              </w:rPr>
            </w:pPr>
            <w:r>
              <w:rPr>
                <w:sz w:val="26"/>
                <w:szCs w:val="26"/>
              </w:rPr>
              <w:t>1</w:t>
            </w:r>
          </w:p>
        </w:tc>
        <w:tc>
          <w:tcPr>
            <w:tcW w:w="1710" w:type="dxa"/>
            <w:vAlign w:val="center"/>
          </w:tcPr>
          <w:p w:rsidR="00656D5C" w:rsidRDefault="00AF49B0" w:rsidP="00D61634">
            <w:pPr>
              <w:jc w:val="center"/>
              <w:rPr>
                <w:sz w:val="26"/>
                <w:szCs w:val="26"/>
              </w:rPr>
            </w:pPr>
            <w:r>
              <w:rPr>
                <w:sz w:val="26"/>
                <w:szCs w:val="26"/>
              </w:rPr>
              <w:t>T</w:t>
            </w:r>
          </w:p>
        </w:tc>
        <w:tc>
          <w:tcPr>
            <w:tcW w:w="10710" w:type="dxa"/>
            <w:vAlign w:val="center"/>
          </w:tcPr>
          <w:p w:rsidR="00006400" w:rsidRDefault="00AF49B0" w:rsidP="00AF49B0">
            <w:pPr>
              <w:rPr>
                <w:sz w:val="26"/>
                <w:szCs w:val="26"/>
              </w:rPr>
            </w:pPr>
            <w:r>
              <w:rPr>
                <w:sz w:val="26"/>
                <w:szCs w:val="26"/>
              </w:rPr>
              <w:t xml:space="preserve">Only institutional providers may bill on a CMS-1450/UB-04?  Only institutional providers can bill on a CMS-1450/UB-04.  </w:t>
            </w:r>
          </w:p>
          <w:p w:rsidR="00006400" w:rsidRDefault="00006400" w:rsidP="00AF49B0">
            <w:pPr>
              <w:rPr>
                <w:sz w:val="26"/>
                <w:szCs w:val="26"/>
              </w:rPr>
            </w:pPr>
          </w:p>
          <w:p w:rsidR="00D61634" w:rsidRPr="005874C9" w:rsidRDefault="00AF49B0" w:rsidP="00AF49B0">
            <w:pPr>
              <w:rPr>
                <w:sz w:val="26"/>
                <w:szCs w:val="26"/>
              </w:rPr>
            </w:pPr>
            <w:r>
              <w:rPr>
                <w:sz w:val="26"/>
                <w:szCs w:val="26"/>
              </w:rPr>
              <w:t>Institutional providers may include professional fees on the CMS-1450 or bill for them separately on a CMS-1500.  The same set of health care records supports both the facility and professional fees billed by the same institutional provider.</w:t>
            </w:r>
            <w:r w:rsidR="002C7BA4">
              <w:rPr>
                <w:sz w:val="26"/>
                <w:szCs w:val="26"/>
              </w:rPr>
              <w:t xml:space="preserve"> Professional fees are reimbursed in accordance with Section 2/Appendix II regardless of what form they are billed on.</w:t>
            </w:r>
          </w:p>
        </w:tc>
      </w:tr>
      <w:tr w:rsidR="00D04EA5" w:rsidTr="00D33E84">
        <w:trPr>
          <w:trHeight w:val="720"/>
        </w:trPr>
        <w:tc>
          <w:tcPr>
            <w:tcW w:w="1530" w:type="dxa"/>
            <w:vAlign w:val="center"/>
          </w:tcPr>
          <w:p w:rsidR="00D04EA5" w:rsidRPr="005874C9" w:rsidRDefault="00D04EA5" w:rsidP="00D61634">
            <w:pPr>
              <w:jc w:val="center"/>
              <w:rPr>
                <w:sz w:val="26"/>
                <w:szCs w:val="26"/>
              </w:rPr>
            </w:pPr>
            <w:r>
              <w:rPr>
                <w:sz w:val="26"/>
                <w:szCs w:val="26"/>
              </w:rPr>
              <w:t>2</w:t>
            </w:r>
          </w:p>
        </w:tc>
        <w:tc>
          <w:tcPr>
            <w:tcW w:w="1710" w:type="dxa"/>
            <w:vAlign w:val="center"/>
          </w:tcPr>
          <w:p w:rsidR="00D04EA5" w:rsidRDefault="00D04EA5" w:rsidP="00465D1A">
            <w:pPr>
              <w:jc w:val="center"/>
              <w:rPr>
                <w:sz w:val="26"/>
                <w:szCs w:val="26"/>
              </w:rPr>
            </w:pPr>
            <w:r>
              <w:rPr>
                <w:sz w:val="26"/>
                <w:szCs w:val="26"/>
              </w:rPr>
              <w:t>T</w:t>
            </w:r>
          </w:p>
        </w:tc>
        <w:tc>
          <w:tcPr>
            <w:tcW w:w="10710" w:type="dxa"/>
            <w:vAlign w:val="center"/>
          </w:tcPr>
          <w:p w:rsidR="00006400" w:rsidRDefault="00D04EA5" w:rsidP="00465D1A">
            <w:pPr>
              <w:rPr>
                <w:sz w:val="26"/>
                <w:szCs w:val="26"/>
              </w:rPr>
            </w:pPr>
            <w:r>
              <w:rPr>
                <w:sz w:val="26"/>
                <w:szCs w:val="26"/>
              </w:rPr>
              <w:t xml:space="preserve">An ER/IR may receive notice of a claim from a healthcare provider?  </w:t>
            </w:r>
          </w:p>
          <w:p w:rsidR="00006400" w:rsidRDefault="00006400" w:rsidP="00465D1A">
            <w:pPr>
              <w:rPr>
                <w:sz w:val="26"/>
                <w:szCs w:val="26"/>
              </w:rPr>
            </w:pPr>
          </w:p>
          <w:p w:rsidR="00D04EA5" w:rsidRPr="005874C9" w:rsidRDefault="00D04EA5" w:rsidP="00465D1A">
            <w:pPr>
              <w:rPr>
                <w:sz w:val="26"/>
                <w:szCs w:val="26"/>
              </w:rPr>
            </w:pPr>
            <w:r>
              <w:rPr>
                <w:sz w:val="26"/>
                <w:szCs w:val="26"/>
              </w:rPr>
              <w:t xml:space="preserve">Per </w:t>
            </w:r>
            <w:r w:rsidRPr="00B85991">
              <w:rPr>
                <w:sz w:val="26"/>
                <w:szCs w:val="26"/>
              </w:rPr>
              <w:t>Board decision: Lewis Wilson v. Central Maine Towing, Inc. and The Ph</w:t>
            </w:r>
            <w:r>
              <w:rPr>
                <w:sz w:val="26"/>
                <w:szCs w:val="26"/>
              </w:rPr>
              <w:t>oenix Insurance Co., “I</w:t>
            </w:r>
            <w:r w:rsidRPr="00B85991">
              <w:rPr>
                <w:sz w:val="26"/>
                <w:szCs w:val="26"/>
              </w:rPr>
              <w:t>f a bill for medical services is received and accompanied by an M-1 and/or other medical information that identifies the time, place, cause and nature of the injury, the employer may be deemed to</w:t>
            </w:r>
            <w:r>
              <w:rPr>
                <w:sz w:val="26"/>
                <w:szCs w:val="26"/>
              </w:rPr>
              <w:t xml:space="preserve"> have knowledge of the injury.”</w:t>
            </w:r>
          </w:p>
        </w:tc>
      </w:tr>
      <w:tr w:rsidR="00D04EA5" w:rsidTr="00D33E84">
        <w:trPr>
          <w:trHeight w:val="720"/>
        </w:trPr>
        <w:tc>
          <w:tcPr>
            <w:tcW w:w="1530" w:type="dxa"/>
            <w:vAlign w:val="center"/>
          </w:tcPr>
          <w:p w:rsidR="00D04EA5" w:rsidRPr="005874C9" w:rsidRDefault="00D04EA5" w:rsidP="00D61634">
            <w:pPr>
              <w:jc w:val="center"/>
              <w:rPr>
                <w:sz w:val="26"/>
                <w:szCs w:val="26"/>
              </w:rPr>
            </w:pPr>
            <w:r>
              <w:rPr>
                <w:sz w:val="26"/>
                <w:szCs w:val="26"/>
              </w:rPr>
              <w:t>3</w:t>
            </w:r>
          </w:p>
        </w:tc>
        <w:tc>
          <w:tcPr>
            <w:tcW w:w="1710" w:type="dxa"/>
            <w:vAlign w:val="center"/>
          </w:tcPr>
          <w:p w:rsidR="00D04EA5" w:rsidRDefault="00D04EA5" w:rsidP="00465D1A">
            <w:pPr>
              <w:jc w:val="center"/>
              <w:rPr>
                <w:sz w:val="26"/>
                <w:szCs w:val="26"/>
              </w:rPr>
            </w:pPr>
            <w:r>
              <w:rPr>
                <w:sz w:val="26"/>
                <w:szCs w:val="26"/>
              </w:rPr>
              <w:t>F</w:t>
            </w:r>
          </w:p>
        </w:tc>
        <w:tc>
          <w:tcPr>
            <w:tcW w:w="10710" w:type="dxa"/>
            <w:vAlign w:val="center"/>
          </w:tcPr>
          <w:p w:rsidR="00006400" w:rsidRDefault="00D04EA5" w:rsidP="00465D1A">
            <w:pPr>
              <w:rPr>
                <w:sz w:val="26"/>
                <w:szCs w:val="26"/>
              </w:rPr>
            </w:pPr>
            <w:r w:rsidRPr="005874C9">
              <w:rPr>
                <w:sz w:val="26"/>
                <w:szCs w:val="26"/>
              </w:rPr>
              <w:t>Insured employers are permitted to pay medical bills up to the amount of their deductible?</w:t>
            </w:r>
            <w:r>
              <w:rPr>
                <w:sz w:val="26"/>
                <w:szCs w:val="26"/>
              </w:rPr>
              <w:t xml:space="preserve">  </w:t>
            </w:r>
          </w:p>
          <w:p w:rsidR="00006400" w:rsidRDefault="00006400" w:rsidP="00465D1A">
            <w:pPr>
              <w:rPr>
                <w:sz w:val="26"/>
                <w:szCs w:val="26"/>
              </w:rPr>
            </w:pPr>
          </w:p>
          <w:p w:rsidR="00D04EA5" w:rsidRPr="005874C9" w:rsidRDefault="00D04EA5" w:rsidP="00465D1A">
            <w:pPr>
              <w:rPr>
                <w:sz w:val="26"/>
                <w:szCs w:val="26"/>
              </w:rPr>
            </w:pPr>
            <w:r>
              <w:rPr>
                <w:sz w:val="26"/>
                <w:szCs w:val="26"/>
              </w:rPr>
              <w:t>All claims must be reported by the employer to the insurer.  The carrier that wrote the policy is responsible from the first dollar regardless of any deductibles on the policy.</w:t>
            </w:r>
          </w:p>
        </w:tc>
      </w:tr>
      <w:tr w:rsidR="00D04EA5" w:rsidTr="00D33E84">
        <w:trPr>
          <w:trHeight w:val="720"/>
        </w:trPr>
        <w:tc>
          <w:tcPr>
            <w:tcW w:w="1530" w:type="dxa"/>
            <w:vAlign w:val="center"/>
          </w:tcPr>
          <w:p w:rsidR="00D04EA5" w:rsidRPr="005874C9" w:rsidRDefault="00D04EA5" w:rsidP="00D61634">
            <w:pPr>
              <w:jc w:val="center"/>
              <w:rPr>
                <w:sz w:val="26"/>
                <w:szCs w:val="26"/>
              </w:rPr>
            </w:pPr>
            <w:r>
              <w:rPr>
                <w:sz w:val="26"/>
                <w:szCs w:val="26"/>
              </w:rPr>
              <w:t>4</w:t>
            </w:r>
          </w:p>
        </w:tc>
        <w:tc>
          <w:tcPr>
            <w:tcW w:w="1710" w:type="dxa"/>
            <w:vAlign w:val="center"/>
          </w:tcPr>
          <w:p w:rsidR="00D04EA5" w:rsidRDefault="00D04EA5" w:rsidP="00465D1A">
            <w:pPr>
              <w:jc w:val="center"/>
              <w:rPr>
                <w:sz w:val="26"/>
                <w:szCs w:val="26"/>
              </w:rPr>
            </w:pPr>
            <w:r>
              <w:rPr>
                <w:sz w:val="26"/>
                <w:szCs w:val="26"/>
              </w:rPr>
              <w:t>F</w:t>
            </w:r>
          </w:p>
        </w:tc>
        <w:tc>
          <w:tcPr>
            <w:tcW w:w="10710" w:type="dxa"/>
            <w:vAlign w:val="center"/>
          </w:tcPr>
          <w:p w:rsidR="00006400" w:rsidRDefault="00D04EA5" w:rsidP="00465D1A">
            <w:pPr>
              <w:rPr>
                <w:sz w:val="26"/>
                <w:szCs w:val="26"/>
              </w:rPr>
            </w:pPr>
            <w:r>
              <w:rPr>
                <w:sz w:val="26"/>
                <w:szCs w:val="26"/>
              </w:rPr>
              <w:t xml:space="preserve">Workers’ compensation bills must contain the employee’s claim number?  </w:t>
            </w:r>
          </w:p>
          <w:p w:rsidR="00006400" w:rsidRDefault="00006400" w:rsidP="00465D1A">
            <w:pPr>
              <w:rPr>
                <w:sz w:val="26"/>
                <w:szCs w:val="26"/>
              </w:rPr>
            </w:pPr>
          </w:p>
          <w:p w:rsidR="00D04EA5" w:rsidRPr="005874C9" w:rsidRDefault="00D04EA5" w:rsidP="00465D1A">
            <w:pPr>
              <w:rPr>
                <w:sz w:val="26"/>
                <w:szCs w:val="26"/>
              </w:rPr>
            </w:pPr>
            <w:r>
              <w:rPr>
                <w:sz w:val="26"/>
                <w:szCs w:val="26"/>
              </w:rPr>
              <w:t xml:space="preserve">Claim numbers are not a required billing element.  Billing elements are as outlined in Chapter 5, </w:t>
            </w:r>
            <w:r w:rsidRPr="002962A9">
              <w:rPr>
                <w:sz w:val="26"/>
                <w:szCs w:val="26"/>
              </w:rPr>
              <w:t>§</w:t>
            </w:r>
            <w:r>
              <w:rPr>
                <w:sz w:val="26"/>
                <w:szCs w:val="26"/>
              </w:rPr>
              <w:t xml:space="preserve"> 1.06(1).</w:t>
            </w:r>
          </w:p>
        </w:tc>
      </w:tr>
      <w:tr w:rsidR="002C7BA4" w:rsidTr="00D33E84">
        <w:trPr>
          <w:trHeight w:val="720"/>
        </w:trPr>
        <w:tc>
          <w:tcPr>
            <w:tcW w:w="1530" w:type="dxa"/>
            <w:vAlign w:val="center"/>
          </w:tcPr>
          <w:p w:rsidR="002C7BA4" w:rsidRPr="005874C9" w:rsidRDefault="002C7BA4" w:rsidP="00D61634">
            <w:pPr>
              <w:jc w:val="center"/>
              <w:rPr>
                <w:sz w:val="26"/>
                <w:szCs w:val="26"/>
              </w:rPr>
            </w:pPr>
            <w:r>
              <w:rPr>
                <w:sz w:val="26"/>
                <w:szCs w:val="26"/>
              </w:rPr>
              <w:t>5</w:t>
            </w:r>
          </w:p>
        </w:tc>
        <w:tc>
          <w:tcPr>
            <w:tcW w:w="1710" w:type="dxa"/>
            <w:vAlign w:val="center"/>
          </w:tcPr>
          <w:p w:rsidR="002C7BA4" w:rsidRPr="005874C9" w:rsidRDefault="002C7BA4" w:rsidP="007D22A4">
            <w:pPr>
              <w:jc w:val="center"/>
              <w:rPr>
                <w:sz w:val="26"/>
                <w:szCs w:val="26"/>
              </w:rPr>
            </w:pPr>
            <w:r>
              <w:rPr>
                <w:sz w:val="26"/>
                <w:szCs w:val="26"/>
              </w:rPr>
              <w:t>F</w:t>
            </w:r>
          </w:p>
        </w:tc>
        <w:tc>
          <w:tcPr>
            <w:tcW w:w="10710" w:type="dxa"/>
            <w:vAlign w:val="center"/>
          </w:tcPr>
          <w:p w:rsidR="00006400" w:rsidRDefault="002C7BA4" w:rsidP="007D22A4">
            <w:r>
              <w:rPr>
                <w:sz w:val="26"/>
                <w:szCs w:val="26"/>
              </w:rPr>
              <w:t xml:space="preserve">There is a </w:t>
            </w:r>
            <w:proofErr w:type="gramStart"/>
            <w:r>
              <w:rPr>
                <w:sz w:val="26"/>
                <w:szCs w:val="26"/>
              </w:rPr>
              <w:t>120 day</w:t>
            </w:r>
            <w:proofErr w:type="gramEnd"/>
            <w:r>
              <w:rPr>
                <w:sz w:val="26"/>
                <w:szCs w:val="26"/>
              </w:rPr>
              <w:t xml:space="preserve"> timely filing limit for workers’ compensation claims?</w:t>
            </w:r>
            <w:r>
              <w:t xml:space="preserve"> </w:t>
            </w:r>
          </w:p>
          <w:p w:rsidR="00006400" w:rsidRDefault="00006400" w:rsidP="007D22A4">
            <w:pPr>
              <w:rPr>
                <w:sz w:val="26"/>
                <w:szCs w:val="26"/>
              </w:rPr>
            </w:pPr>
          </w:p>
          <w:p w:rsidR="002C7BA4" w:rsidRPr="005874C9" w:rsidRDefault="002C7BA4" w:rsidP="007D22A4">
            <w:pPr>
              <w:rPr>
                <w:sz w:val="26"/>
                <w:szCs w:val="26"/>
              </w:rPr>
            </w:pPr>
            <w:r w:rsidRPr="002962A9">
              <w:rPr>
                <w:sz w:val="26"/>
                <w:szCs w:val="26"/>
              </w:rPr>
              <w:t>An employer/insurer cannot put a time limit on the submission of workers’ compensation bills.  The time for filing petitions is go</w:t>
            </w:r>
            <w:r>
              <w:rPr>
                <w:sz w:val="26"/>
                <w:szCs w:val="26"/>
              </w:rPr>
              <w:t>verned by Act § 306.</w:t>
            </w:r>
          </w:p>
        </w:tc>
      </w:tr>
      <w:tr w:rsidR="002C7BA4" w:rsidTr="00D33E84">
        <w:trPr>
          <w:trHeight w:val="720"/>
        </w:trPr>
        <w:tc>
          <w:tcPr>
            <w:tcW w:w="1530" w:type="dxa"/>
            <w:vAlign w:val="center"/>
          </w:tcPr>
          <w:p w:rsidR="002C7BA4" w:rsidRPr="005874C9" w:rsidRDefault="002C7BA4" w:rsidP="00D61634">
            <w:pPr>
              <w:jc w:val="center"/>
              <w:rPr>
                <w:sz w:val="26"/>
                <w:szCs w:val="26"/>
              </w:rPr>
            </w:pPr>
            <w:r>
              <w:rPr>
                <w:sz w:val="26"/>
                <w:szCs w:val="26"/>
              </w:rPr>
              <w:t>6</w:t>
            </w:r>
          </w:p>
        </w:tc>
        <w:tc>
          <w:tcPr>
            <w:tcW w:w="1710" w:type="dxa"/>
            <w:vAlign w:val="center"/>
          </w:tcPr>
          <w:p w:rsidR="002C7BA4" w:rsidRDefault="002C7BA4" w:rsidP="007D22A4">
            <w:pPr>
              <w:jc w:val="center"/>
              <w:rPr>
                <w:sz w:val="26"/>
                <w:szCs w:val="26"/>
              </w:rPr>
            </w:pPr>
            <w:r>
              <w:rPr>
                <w:sz w:val="26"/>
                <w:szCs w:val="26"/>
              </w:rPr>
              <w:t>F</w:t>
            </w:r>
          </w:p>
        </w:tc>
        <w:tc>
          <w:tcPr>
            <w:tcW w:w="10710" w:type="dxa"/>
            <w:vAlign w:val="center"/>
          </w:tcPr>
          <w:p w:rsidR="00006400" w:rsidRDefault="002C7BA4" w:rsidP="007D22A4">
            <w:r>
              <w:rPr>
                <w:sz w:val="26"/>
                <w:szCs w:val="26"/>
              </w:rPr>
              <w:t>Physical therapists may not complete the diagnostic medical report?</w:t>
            </w:r>
            <w:r>
              <w:t xml:space="preserve"> </w:t>
            </w:r>
          </w:p>
          <w:p w:rsidR="00006400" w:rsidRDefault="00006400" w:rsidP="007D22A4">
            <w:pPr>
              <w:rPr>
                <w:sz w:val="26"/>
                <w:szCs w:val="26"/>
              </w:rPr>
            </w:pPr>
          </w:p>
          <w:p w:rsidR="002C7BA4" w:rsidRPr="005874C9" w:rsidRDefault="002C7BA4" w:rsidP="007D22A4">
            <w:pPr>
              <w:rPr>
                <w:sz w:val="26"/>
                <w:szCs w:val="26"/>
              </w:rPr>
            </w:pPr>
            <w:r w:rsidRPr="002962A9">
              <w:rPr>
                <w:sz w:val="26"/>
                <w:szCs w:val="26"/>
              </w:rPr>
              <w:t>Health care providers must complete the M-1 form in accordance with 39­A</w:t>
            </w:r>
            <w:r>
              <w:rPr>
                <w:sz w:val="26"/>
                <w:szCs w:val="26"/>
              </w:rPr>
              <w:t xml:space="preserve"> M.R.S.A.</w:t>
            </w:r>
            <w:r w:rsidRPr="002962A9">
              <w:rPr>
                <w:sz w:val="26"/>
                <w:szCs w:val="26"/>
              </w:rPr>
              <w:t xml:space="preserve"> §208.</w:t>
            </w:r>
            <w:r w:rsidR="00006400">
              <w:rPr>
                <w:sz w:val="26"/>
                <w:szCs w:val="26"/>
              </w:rPr>
              <w:t xml:space="preserve">  </w:t>
            </w:r>
            <w:r w:rsidRPr="002962A9">
              <w:rPr>
                <w:sz w:val="26"/>
                <w:szCs w:val="26"/>
              </w:rPr>
              <w:t>The definition of a health care provider is an individual, group of individuals, or facility licensed, registered, or certified and practicing within the scope of the health care provider’s license, registration or certification</w:t>
            </w:r>
            <w:r>
              <w:rPr>
                <w:sz w:val="26"/>
                <w:szCs w:val="26"/>
              </w:rPr>
              <w:t>; this definition includes physical therapists and all other providers that meet the definition</w:t>
            </w:r>
            <w:r w:rsidRPr="002962A9">
              <w:rPr>
                <w:sz w:val="26"/>
                <w:szCs w:val="26"/>
              </w:rPr>
              <w:t xml:space="preserve">.  </w:t>
            </w:r>
          </w:p>
        </w:tc>
      </w:tr>
    </w:tbl>
    <w:p w:rsidR="00D33E84" w:rsidRDefault="00D33E84">
      <w:r>
        <w:br w:type="page"/>
      </w:r>
      <w:bookmarkStart w:id="1" w:name="_GoBack"/>
      <w:bookmarkEnd w:id="1"/>
    </w:p>
    <w:tbl>
      <w:tblPr>
        <w:tblStyle w:val="TableGrid"/>
        <w:tblW w:w="0" w:type="auto"/>
        <w:tblInd w:w="288" w:type="dxa"/>
        <w:tblLook w:val="04A0" w:firstRow="1" w:lastRow="0" w:firstColumn="1" w:lastColumn="0" w:noHBand="0" w:noVBand="1"/>
      </w:tblPr>
      <w:tblGrid>
        <w:gridCol w:w="1530"/>
        <w:gridCol w:w="1710"/>
        <w:gridCol w:w="10710"/>
      </w:tblGrid>
      <w:tr w:rsidR="00D33E84" w:rsidRPr="00B56BC5" w:rsidTr="00D33E84">
        <w:tc>
          <w:tcPr>
            <w:tcW w:w="1530" w:type="dxa"/>
          </w:tcPr>
          <w:p w:rsidR="00D33E84" w:rsidRPr="00035734" w:rsidRDefault="00D33E84" w:rsidP="00521B35">
            <w:pPr>
              <w:spacing w:after="200" w:line="276" w:lineRule="auto"/>
              <w:jc w:val="center"/>
              <w:rPr>
                <w:b/>
                <w:sz w:val="26"/>
                <w:szCs w:val="26"/>
              </w:rPr>
            </w:pPr>
            <w:r>
              <w:rPr>
                <w:b/>
                <w:sz w:val="26"/>
                <w:szCs w:val="26"/>
              </w:rPr>
              <w:lastRenderedPageBreak/>
              <w:t>Number</w:t>
            </w:r>
          </w:p>
        </w:tc>
        <w:tc>
          <w:tcPr>
            <w:tcW w:w="1710" w:type="dxa"/>
          </w:tcPr>
          <w:p w:rsidR="00D33E84" w:rsidRPr="00035734" w:rsidRDefault="00D33E84" w:rsidP="00521B35">
            <w:pPr>
              <w:spacing w:after="200" w:line="276" w:lineRule="auto"/>
              <w:jc w:val="center"/>
              <w:rPr>
                <w:b/>
                <w:sz w:val="26"/>
                <w:szCs w:val="26"/>
              </w:rPr>
            </w:pPr>
            <w:r w:rsidRPr="00035734">
              <w:rPr>
                <w:b/>
                <w:sz w:val="26"/>
                <w:szCs w:val="26"/>
              </w:rPr>
              <w:t>True or False</w:t>
            </w:r>
          </w:p>
        </w:tc>
        <w:tc>
          <w:tcPr>
            <w:tcW w:w="10710" w:type="dxa"/>
          </w:tcPr>
          <w:p w:rsidR="00D33E84" w:rsidRPr="00035734" w:rsidRDefault="00D33E84" w:rsidP="00521B35">
            <w:pPr>
              <w:spacing w:after="200" w:line="276" w:lineRule="auto"/>
              <w:rPr>
                <w:b/>
                <w:sz w:val="26"/>
                <w:szCs w:val="26"/>
              </w:rPr>
            </w:pPr>
            <w:r>
              <w:rPr>
                <w:b/>
                <w:sz w:val="26"/>
                <w:szCs w:val="26"/>
              </w:rPr>
              <w:t>Question</w:t>
            </w:r>
          </w:p>
        </w:tc>
      </w:tr>
      <w:tr w:rsidR="002C7BA4" w:rsidTr="00D33E84">
        <w:trPr>
          <w:trHeight w:val="720"/>
        </w:trPr>
        <w:tc>
          <w:tcPr>
            <w:tcW w:w="1530" w:type="dxa"/>
            <w:vAlign w:val="center"/>
          </w:tcPr>
          <w:p w:rsidR="002C7BA4" w:rsidRPr="005874C9" w:rsidRDefault="002C7BA4" w:rsidP="00D61634">
            <w:pPr>
              <w:jc w:val="center"/>
              <w:rPr>
                <w:sz w:val="26"/>
                <w:szCs w:val="26"/>
              </w:rPr>
            </w:pPr>
            <w:r>
              <w:rPr>
                <w:sz w:val="26"/>
                <w:szCs w:val="26"/>
              </w:rPr>
              <w:t>7</w:t>
            </w:r>
          </w:p>
        </w:tc>
        <w:tc>
          <w:tcPr>
            <w:tcW w:w="1710" w:type="dxa"/>
            <w:vAlign w:val="center"/>
          </w:tcPr>
          <w:p w:rsidR="002C7BA4" w:rsidRPr="005874C9" w:rsidRDefault="002C7BA4" w:rsidP="007D22A4">
            <w:pPr>
              <w:jc w:val="center"/>
              <w:rPr>
                <w:sz w:val="26"/>
                <w:szCs w:val="26"/>
              </w:rPr>
            </w:pPr>
            <w:r>
              <w:rPr>
                <w:sz w:val="26"/>
                <w:szCs w:val="26"/>
              </w:rPr>
              <w:t>T</w:t>
            </w:r>
          </w:p>
        </w:tc>
        <w:tc>
          <w:tcPr>
            <w:tcW w:w="10710" w:type="dxa"/>
            <w:vAlign w:val="center"/>
          </w:tcPr>
          <w:p w:rsidR="00006400" w:rsidRDefault="002C7BA4" w:rsidP="007D22A4">
            <w:pPr>
              <w:rPr>
                <w:sz w:val="26"/>
                <w:szCs w:val="26"/>
              </w:rPr>
            </w:pPr>
            <w:r>
              <w:rPr>
                <w:sz w:val="26"/>
                <w:szCs w:val="26"/>
              </w:rPr>
              <w:t>Consistent late and/or incorrect medical bill payments may</w:t>
            </w:r>
            <w:r w:rsidRPr="001D22F6">
              <w:rPr>
                <w:sz w:val="26"/>
                <w:szCs w:val="26"/>
              </w:rPr>
              <w:t xml:space="preserve"> subject </w:t>
            </w:r>
            <w:r>
              <w:rPr>
                <w:sz w:val="26"/>
                <w:szCs w:val="26"/>
              </w:rPr>
              <w:t xml:space="preserve">an ER/IR to </w:t>
            </w:r>
            <w:r w:rsidRPr="001D22F6">
              <w:rPr>
                <w:sz w:val="26"/>
                <w:szCs w:val="26"/>
              </w:rPr>
              <w:t>fine</w:t>
            </w:r>
            <w:r>
              <w:rPr>
                <w:sz w:val="26"/>
                <w:szCs w:val="26"/>
              </w:rPr>
              <w:t>s up to $25,000</w:t>
            </w:r>
            <w:r w:rsidRPr="001D22F6">
              <w:rPr>
                <w:sz w:val="26"/>
                <w:szCs w:val="26"/>
              </w:rPr>
              <w:t xml:space="preserve">?  </w:t>
            </w:r>
          </w:p>
          <w:p w:rsidR="00006400" w:rsidRDefault="00006400" w:rsidP="007D22A4">
            <w:pPr>
              <w:rPr>
                <w:sz w:val="26"/>
                <w:szCs w:val="26"/>
              </w:rPr>
            </w:pPr>
          </w:p>
          <w:p w:rsidR="002C7BA4" w:rsidRDefault="002C7BA4" w:rsidP="007D22A4">
            <w:pPr>
              <w:rPr>
                <w:sz w:val="26"/>
                <w:szCs w:val="26"/>
              </w:rPr>
            </w:pPr>
            <w:r>
              <w:rPr>
                <w:sz w:val="26"/>
                <w:szCs w:val="26"/>
              </w:rPr>
              <w:t xml:space="preserve">Consistent late and/or incorrect medical bill payments may subject insurers, self-insurers and </w:t>
            </w:r>
            <w:proofErr w:type="gramStart"/>
            <w:r>
              <w:rPr>
                <w:sz w:val="26"/>
                <w:szCs w:val="26"/>
              </w:rPr>
              <w:t>third party</w:t>
            </w:r>
            <w:proofErr w:type="gramEnd"/>
            <w:r>
              <w:rPr>
                <w:sz w:val="26"/>
                <w:szCs w:val="26"/>
              </w:rPr>
              <w:t xml:space="preserve"> administrators</w:t>
            </w:r>
            <w:r w:rsidRPr="001D22F6">
              <w:rPr>
                <w:sz w:val="26"/>
                <w:szCs w:val="26"/>
              </w:rPr>
              <w:t xml:space="preserve"> to fines under </w:t>
            </w:r>
            <w:r>
              <w:rPr>
                <w:sz w:val="26"/>
                <w:szCs w:val="26"/>
              </w:rPr>
              <w:t xml:space="preserve">39-A M.R.S.A. </w:t>
            </w:r>
            <w:r w:rsidRPr="00D04EA5">
              <w:rPr>
                <w:sz w:val="26"/>
                <w:szCs w:val="26"/>
              </w:rPr>
              <w:t>§§</w:t>
            </w:r>
            <w:r>
              <w:rPr>
                <w:sz w:val="26"/>
                <w:szCs w:val="26"/>
              </w:rPr>
              <w:t xml:space="preserve"> 205,</w:t>
            </w:r>
            <w:r w:rsidRPr="001D22F6">
              <w:rPr>
                <w:sz w:val="26"/>
                <w:szCs w:val="26"/>
              </w:rPr>
              <w:t xml:space="preserve"> 3</w:t>
            </w:r>
            <w:r>
              <w:rPr>
                <w:sz w:val="26"/>
                <w:szCs w:val="26"/>
              </w:rPr>
              <w:t>59 and/or 3</w:t>
            </w:r>
            <w:r w:rsidRPr="001D22F6">
              <w:rPr>
                <w:sz w:val="26"/>
                <w:szCs w:val="26"/>
              </w:rPr>
              <w:t>60.  This includes fines up to $</w:t>
            </w:r>
            <w:r>
              <w:rPr>
                <w:sz w:val="26"/>
                <w:szCs w:val="26"/>
              </w:rPr>
              <w:t xml:space="preserve">25,000 </w:t>
            </w:r>
            <w:r w:rsidRPr="001D22F6">
              <w:rPr>
                <w:sz w:val="26"/>
                <w:szCs w:val="26"/>
              </w:rPr>
              <w:t xml:space="preserve">for </w:t>
            </w:r>
            <w:r>
              <w:rPr>
                <w:sz w:val="26"/>
                <w:szCs w:val="26"/>
              </w:rPr>
              <w:t>a “pattern of questionable claims-handling”</w:t>
            </w:r>
            <w:r w:rsidRPr="001D22F6">
              <w:rPr>
                <w:sz w:val="26"/>
                <w:szCs w:val="26"/>
              </w:rPr>
              <w:t>.</w:t>
            </w:r>
          </w:p>
        </w:tc>
      </w:tr>
      <w:tr w:rsidR="002C7BA4" w:rsidTr="00D33E84">
        <w:trPr>
          <w:trHeight w:val="720"/>
        </w:trPr>
        <w:tc>
          <w:tcPr>
            <w:tcW w:w="1530" w:type="dxa"/>
            <w:vAlign w:val="center"/>
          </w:tcPr>
          <w:p w:rsidR="002C7BA4" w:rsidRPr="005874C9" w:rsidRDefault="002C7BA4" w:rsidP="00D61634">
            <w:pPr>
              <w:jc w:val="center"/>
              <w:rPr>
                <w:sz w:val="26"/>
                <w:szCs w:val="26"/>
              </w:rPr>
            </w:pPr>
            <w:r>
              <w:rPr>
                <w:sz w:val="26"/>
                <w:szCs w:val="26"/>
              </w:rPr>
              <w:t>8</w:t>
            </w:r>
          </w:p>
        </w:tc>
        <w:tc>
          <w:tcPr>
            <w:tcW w:w="1710" w:type="dxa"/>
            <w:vAlign w:val="center"/>
          </w:tcPr>
          <w:p w:rsidR="002C7BA4" w:rsidRPr="005874C9" w:rsidRDefault="002C7BA4" w:rsidP="007D22A4">
            <w:pPr>
              <w:jc w:val="center"/>
              <w:rPr>
                <w:sz w:val="26"/>
                <w:szCs w:val="26"/>
              </w:rPr>
            </w:pPr>
            <w:r>
              <w:rPr>
                <w:sz w:val="26"/>
                <w:szCs w:val="26"/>
              </w:rPr>
              <w:t>F</w:t>
            </w:r>
          </w:p>
        </w:tc>
        <w:tc>
          <w:tcPr>
            <w:tcW w:w="10710" w:type="dxa"/>
            <w:vAlign w:val="center"/>
          </w:tcPr>
          <w:p w:rsidR="00D33E84" w:rsidRDefault="002C7BA4" w:rsidP="007D22A4">
            <w:pPr>
              <w:rPr>
                <w:sz w:val="26"/>
                <w:szCs w:val="26"/>
              </w:rPr>
            </w:pPr>
            <w:r>
              <w:rPr>
                <w:sz w:val="26"/>
                <w:szCs w:val="26"/>
              </w:rPr>
              <w:t xml:space="preserve">The Explanation of Benefits/Review must clearly identify which charges are not being paid and why? </w:t>
            </w:r>
          </w:p>
          <w:p w:rsidR="00D33E84" w:rsidRDefault="00D33E84" w:rsidP="007D22A4">
            <w:pPr>
              <w:rPr>
                <w:sz w:val="26"/>
                <w:szCs w:val="26"/>
              </w:rPr>
            </w:pPr>
          </w:p>
          <w:p w:rsidR="002C7BA4" w:rsidRPr="005874C9" w:rsidRDefault="002C7BA4" w:rsidP="007D22A4">
            <w:pPr>
              <w:rPr>
                <w:sz w:val="26"/>
                <w:szCs w:val="26"/>
              </w:rPr>
            </w:pPr>
            <w:r w:rsidRPr="00A05F3D">
              <w:rPr>
                <w:sz w:val="26"/>
                <w:szCs w:val="26"/>
              </w:rPr>
              <w:t>EOBs/EORs are not required.  Assuming there is not a valid payment agreement to pay something other than the amount due per the</w:t>
            </w:r>
            <w:r>
              <w:rPr>
                <w:sz w:val="26"/>
                <w:szCs w:val="26"/>
              </w:rPr>
              <w:t xml:space="preserve"> fee schedule,</w:t>
            </w:r>
            <w:r w:rsidRPr="00A05F3D">
              <w:rPr>
                <w:sz w:val="26"/>
                <w:szCs w:val="26"/>
              </w:rPr>
              <w:t xml:space="preserve"> the employer/insurer must pay the bill in accordance with the </w:t>
            </w:r>
            <w:r>
              <w:rPr>
                <w:sz w:val="26"/>
                <w:szCs w:val="26"/>
              </w:rPr>
              <w:t>fee schedule</w:t>
            </w:r>
            <w:r w:rsidRPr="00A05F3D">
              <w:rPr>
                <w:sz w:val="26"/>
                <w:szCs w:val="26"/>
              </w:rPr>
              <w:t xml:space="preserve">.  If anything less than the amount due under the </w:t>
            </w:r>
            <w:r>
              <w:rPr>
                <w:sz w:val="26"/>
                <w:szCs w:val="26"/>
              </w:rPr>
              <w:t xml:space="preserve">fee schedule </w:t>
            </w:r>
            <w:r w:rsidRPr="00A05F3D">
              <w:rPr>
                <w:sz w:val="26"/>
                <w:szCs w:val="26"/>
              </w:rPr>
              <w:t>is paid, a partial denial must be filed electronically with the Board contemporaneous with the payment.  A copy of the denial/notice of controversy form must be sent to the employee, the employer and the health care provider from whom the bill originated within 24 hours after the Notice of Controversy is transmitted to the Board.</w:t>
            </w:r>
          </w:p>
        </w:tc>
      </w:tr>
      <w:tr w:rsidR="002C7BA4" w:rsidTr="00D33E84">
        <w:trPr>
          <w:trHeight w:val="720"/>
        </w:trPr>
        <w:tc>
          <w:tcPr>
            <w:tcW w:w="1530" w:type="dxa"/>
            <w:vAlign w:val="center"/>
          </w:tcPr>
          <w:p w:rsidR="002C7BA4" w:rsidRDefault="002C7BA4" w:rsidP="00D61634">
            <w:pPr>
              <w:jc w:val="center"/>
              <w:rPr>
                <w:sz w:val="26"/>
                <w:szCs w:val="26"/>
              </w:rPr>
            </w:pPr>
            <w:r>
              <w:rPr>
                <w:sz w:val="26"/>
                <w:szCs w:val="26"/>
              </w:rPr>
              <w:t>9</w:t>
            </w:r>
          </w:p>
        </w:tc>
        <w:tc>
          <w:tcPr>
            <w:tcW w:w="1710" w:type="dxa"/>
            <w:vAlign w:val="center"/>
          </w:tcPr>
          <w:p w:rsidR="002C7BA4" w:rsidRPr="005874C9" w:rsidRDefault="002C7BA4" w:rsidP="007D22A4">
            <w:pPr>
              <w:jc w:val="center"/>
              <w:rPr>
                <w:sz w:val="26"/>
                <w:szCs w:val="26"/>
              </w:rPr>
            </w:pPr>
            <w:r>
              <w:rPr>
                <w:sz w:val="26"/>
                <w:szCs w:val="26"/>
              </w:rPr>
              <w:t>F</w:t>
            </w:r>
          </w:p>
        </w:tc>
        <w:tc>
          <w:tcPr>
            <w:tcW w:w="10710" w:type="dxa"/>
            <w:vAlign w:val="center"/>
          </w:tcPr>
          <w:p w:rsidR="00D33E84" w:rsidRDefault="002F065F" w:rsidP="0076174B">
            <w:pPr>
              <w:rPr>
                <w:sz w:val="26"/>
                <w:szCs w:val="26"/>
              </w:rPr>
            </w:pPr>
            <w:r>
              <w:rPr>
                <w:sz w:val="26"/>
                <w:szCs w:val="26"/>
              </w:rPr>
              <w:t>Providers must file an appeal and/or request for reconsideration with the payor before it files a petition with the Maine Worker’s Compensation Board</w:t>
            </w:r>
            <w:r w:rsidR="002C7BA4">
              <w:rPr>
                <w:sz w:val="26"/>
                <w:szCs w:val="26"/>
              </w:rPr>
              <w:t xml:space="preserve">? </w:t>
            </w:r>
          </w:p>
          <w:p w:rsidR="00D33E84" w:rsidRDefault="00D33E84" w:rsidP="0076174B">
            <w:pPr>
              <w:rPr>
                <w:sz w:val="26"/>
                <w:szCs w:val="26"/>
              </w:rPr>
            </w:pPr>
          </w:p>
          <w:p w:rsidR="002C7BA4" w:rsidRPr="005874C9" w:rsidRDefault="002F065F" w:rsidP="0076174B">
            <w:pPr>
              <w:rPr>
                <w:sz w:val="26"/>
                <w:szCs w:val="26"/>
              </w:rPr>
            </w:pPr>
            <w:r>
              <w:rPr>
                <w:sz w:val="26"/>
                <w:szCs w:val="26"/>
              </w:rPr>
              <w:t>There is no requirement for a provider to file an appeal and/or request for reconsideration with the payor before filing a petition with the Maine Workers’ Compensation Board</w:t>
            </w:r>
            <w:r w:rsidR="002C7BA4">
              <w:rPr>
                <w:sz w:val="26"/>
                <w:szCs w:val="26"/>
              </w:rPr>
              <w:t>.</w:t>
            </w:r>
            <w:r>
              <w:rPr>
                <w:sz w:val="26"/>
                <w:szCs w:val="26"/>
              </w:rPr>
              <w:t xml:space="preserve">  </w:t>
            </w:r>
            <w:r w:rsidRPr="002F065F">
              <w:rPr>
                <w:sz w:val="26"/>
                <w:szCs w:val="26"/>
              </w:rPr>
              <w:t>A health care provider, employee or other interested party is entitled to file a petition for payment of medical and related services for determination of any dispute regarding the provision of medical services.</w:t>
            </w:r>
            <w:r>
              <w:rPr>
                <w:sz w:val="26"/>
                <w:szCs w:val="26"/>
              </w:rPr>
              <w:t xml:space="preserve">  </w:t>
            </w:r>
            <w:r w:rsidR="0076174B">
              <w:rPr>
                <w:sz w:val="26"/>
                <w:szCs w:val="26"/>
              </w:rPr>
              <w:t>The time for filing petitions is governed by 39-A M.R.S.A</w:t>
            </w:r>
            <w:r w:rsidRPr="002F065F">
              <w:rPr>
                <w:sz w:val="26"/>
                <w:szCs w:val="26"/>
              </w:rPr>
              <w:t>.</w:t>
            </w:r>
            <w:r w:rsidR="0076174B" w:rsidRPr="00D04EA5">
              <w:rPr>
                <w:sz w:val="26"/>
                <w:szCs w:val="26"/>
              </w:rPr>
              <w:t xml:space="preserve"> </w:t>
            </w:r>
            <w:r w:rsidR="0076174B">
              <w:rPr>
                <w:sz w:val="26"/>
                <w:szCs w:val="26"/>
              </w:rPr>
              <w:t xml:space="preserve"> </w:t>
            </w:r>
            <w:r w:rsidR="0076174B" w:rsidRPr="00D04EA5">
              <w:rPr>
                <w:sz w:val="26"/>
                <w:szCs w:val="26"/>
              </w:rPr>
              <w:t>§</w:t>
            </w:r>
            <w:r w:rsidR="0076174B">
              <w:rPr>
                <w:sz w:val="26"/>
                <w:szCs w:val="26"/>
              </w:rPr>
              <w:t xml:space="preserve"> 306.</w:t>
            </w:r>
          </w:p>
        </w:tc>
      </w:tr>
      <w:tr w:rsidR="002C7BA4" w:rsidTr="00D33E84">
        <w:trPr>
          <w:trHeight w:val="720"/>
        </w:trPr>
        <w:tc>
          <w:tcPr>
            <w:tcW w:w="1530" w:type="dxa"/>
            <w:vAlign w:val="center"/>
          </w:tcPr>
          <w:p w:rsidR="002C7BA4" w:rsidRDefault="002C7BA4" w:rsidP="00D61634">
            <w:pPr>
              <w:jc w:val="center"/>
              <w:rPr>
                <w:sz w:val="26"/>
                <w:szCs w:val="26"/>
              </w:rPr>
            </w:pPr>
            <w:r>
              <w:rPr>
                <w:sz w:val="26"/>
                <w:szCs w:val="26"/>
              </w:rPr>
              <w:t>10</w:t>
            </w:r>
          </w:p>
        </w:tc>
        <w:tc>
          <w:tcPr>
            <w:tcW w:w="1710" w:type="dxa"/>
            <w:vAlign w:val="center"/>
          </w:tcPr>
          <w:p w:rsidR="002C7BA4" w:rsidRPr="005874C9" w:rsidRDefault="002F065F" w:rsidP="00C04C41">
            <w:pPr>
              <w:jc w:val="center"/>
              <w:rPr>
                <w:sz w:val="26"/>
                <w:szCs w:val="26"/>
              </w:rPr>
            </w:pPr>
            <w:r>
              <w:rPr>
                <w:sz w:val="26"/>
                <w:szCs w:val="26"/>
              </w:rPr>
              <w:t>T</w:t>
            </w:r>
          </w:p>
        </w:tc>
        <w:tc>
          <w:tcPr>
            <w:tcW w:w="10710" w:type="dxa"/>
            <w:vAlign w:val="center"/>
          </w:tcPr>
          <w:p w:rsidR="00D33E84" w:rsidRDefault="002F065F" w:rsidP="00C04C41">
            <w:pPr>
              <w:rPr>
                <w:sz w:val="26"/>
                <w:szCs w:val="26"/>
              </w:rPr>
            </w:pPr>
            <w:r>
              <w:rPr>
                <w:sz w:val="26"/>
                <w:szCs w:val="26"/>
              </w:rPr>
              <w:t xml:space="preserve">Providers are paid the lower of the amount due per the fee schedule or billed charges?  </w:t>
            </w:r>
          </w:p>
          <w:p w:rsidR="00D33E84" w:rsidRDefault="00D33E84" w:rsidP="00C04C41">
            <w:pPr>
              <w:rPr>
                <w:sz w:val="26"/>
                <w:szCs w:val="26"/>
              </w:rPr>
            </w:pPr>
          </w:p>
          <w:p w:rsidR="002C7BA4" w:rsidRPr="005874C9" w:rsidRDefault="002F065F" w:rsidP="00C04C41">
            <w:pPr>
              <w:rPr>
                <w:sz w:val="26"/>
                <w:szCs w:val="26"/>
              </w:rPr>
            </w:pPr>
            <w:r>
              <w:rPr>
                <w:sz w:val="26"/>
                <w:szCs w:val="26"/>
              </w:rPr>
              <w:t>Providers are paid the lower of the amount due per the fee schedule or billed charges on a line by line basis for professional fees.  For facility fees, the total amount due per the fee schedule must be compared to the total facility charges and the provider is entitled to the lesser of the two.</w:t>
            </w:r>
          </w:p>
        </w:tc>
      </w:tr>
    </w:tbl>
    <w:p w:rsidR="005874C9" w:rsidRDefault="005874C9"/>
    <w:sectPr w:rsidR="005874C9" w:rsidSect="001C5555">
      <w:pgSz w:w="15840" w:h="12240" w:orient="landscape"/>
      <w:pgMar w:top="36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A1E"/>
    <w:rsid w:val="00006400"/>
    <w:rsid w:val="00035734"/>
    <w:rsid w:val="000C66BE"/>
    <w:rsid w:val="001750CE"/>
    <w:rsid w:val="001A2342"/>
    <w:rsid w:val="001C5555"/>
    <w:rsid w:val="001D22F6"/>
    <w:rsid w:val="00246564"/>
    <w:rsid w:val="002962A9"/>
    <w:rsid w:val="002A6850"/>
    <w:rsid w:val="002C7BA4"/>
    <w:rsid w:val="002D6D0E"/>
    <w:rsid w:val="002F065F"/>
    <w:rsid w:val="003E6445"/>
    <w:rsid w:val="004428DF"/>
    <w:rsid w:val="00470715"/>
    <w:rsid w:val="00573CF6"/>
    <w:rsid w:val="005874C9"/>
    <w:rsid w:val="005F1227"/>
    <w:rsid w:val="00656D5C"/>
    <w:rsid w:val="0076174B"/>
    <w:rsid w:val="007E3D62"/>
    <w:rsid w:val="00851745"/>
    <w:rsid w:val="00893F44"/>
    <w:rsid w:val="008E7F04"/>
    <w:rsid w:val="0095127A"/>
    <w:rsid w:val="00972DCD"/>
    <w:rsid w:val="009827AE"/>
    <w:rsid w:val="009A3A1E"/>
    <w:rsid w:val="009D4895"/>
    <w:rsid w:val="00A05F3D"/>
    <w:rsid w:val="00AE3489"/>
    <w:rsid w:val="00AF49B0"/>
    <w:rsid w:val="00B56BC5"/>
    <w:rsid w:val="00B85991"/>
    <w:rsid w:val="00BB255D"/>
    <w:rsid w:val="00BE7C2D"/>
    <w:rsid w:val="00C7615A"/>
    <w:rsid w:val="00C95FB7"/>
    <w:rsid w:val="00D04EA5"/>
    <w:rsid w:val="00D33E84"/>
    <w:rsid w:val="00D61634"/>
    <w:rsid w:val="00DB468E"/>
    <w:rsid w:val="00DF4143"/>
    <w:rsid w:val="00EB7341"/>
    <w:rsid w:val="00F8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AEAD"/>
  <w15:docId w15:val="{E5637A48-2E3A-4F91-999B-DA3F3B7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7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081E-793F-4183-A7D4-0DE4CE96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Barriere, Kimberlee</dc:creator>
  <cp:lastModifiedBy>McCarson, Kimberlee</cp:lastModifiedBy>
  <cp:revision>6</cp:revision>
  <dcterms:created xsi:type="dcterms:W3CDTF">2018-12-19T22:41:00Z</dcterms:created>
  <dcterms:modified xsi:type="dcterms:W3CDTF">2019-12-16T17:32:00Z</dcterms:modified>
</cp:coreProperties>
</file>